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FE" w:rsidRDefault="00F060A5" w:rsidP="006D1585">
      <w:pPr>
        <w:pStyle w:val="1"/>
        <w:tabs>
          <w:tab w:val="left" w:pos="2786"/>
        </w:tabs>
        <w:ind w:left="0" w:firstLine="0"/>
        <w:jc w:val="center"/>
      </w:pPr>
      <w:r>
        <w:rPr>
          <w:spacing w:val="10"/>
        </w:rPr>
        <w:t>震災時等における仮貯蔵等の安全対策</w:t>
      </w:r>
      <w:r w:rsidR="006D1585">
        <w:rPr>
          <w:rFonts w:hint="eastAsia"/>
          <w:spacing w:val="10"/>
        </w:rPr>
        <w:t>（例）</w:t>
      </w:r>
    </w:p>
    <w:p w:rsidR="00A42EFE" w:rsidRDefault="00A42EFE">
      <w:pPr>
        <w:pStyle w:val="a3"/>
        <w:spacing w:before="10"/>
        <w:rPr>
          <w:b/>
          <w:sz w:val="30"/>
        </w:rPr>
      </w:pPr>
    </w:p>
    <w:p w:rsidR="00A42EFE" w:rsidRDefault="00F060A5" w:rsidP="00317391">
      <w:pPr>
        <w:pStyle w:val="a3"/>
      </w:pPr>
      <w:r>
        <w:t>１</w:t>
      </w:r>
      <w:r w:rsidR="00317391">
        <w:rPr>
          <w:rFonts w:hint="eastAsia"/>
        </w:rPr>
        <w:t xml:space="preserve">　</w:t>
      </w:r>
      <w:r>
        <w:rPr>
          <w:spacing w:val="12"/>
        </w:rPr>
        <w:t>共通対策</w:t>
      </w:r>
    </w:p>
    <w:p w:rsidR="00A42EFE" w:rsidRDefault="00DB47F0" w:rsidP="00DB47F0">
      <w:pPr>
        <w:pStyle w:val="a3"/>
        <w:spacing w:before="57"/>
      </w:pPr>
      <w:r>
        <w:rPr>
          <w:rFonts w:hint="eastAsia"/>
          <w:noProof/>
          <w:position w:val="-2"/>
        </w:rPr>
        <w:t>（１）</w:t>
      </w:r>
      <w:r w:rsidR="00F060A5">
        <w:rPr>
          <w:spacing w:val="12"/>
        </w:rPr>
        <w:t>危険物の取扱い場所（可燃性蒸気対策）</w:t>
      </w:r>
    </w:p>
    <w:p w:rsidR="00A42EFE" w:rsidRDefault="00F060A5" w:rsidP="00317391">
      <w:pPr>
        <w:pStyle w:val="a3"/>
        <w:spacing w:before="56"/>
        <w:ind w:firstLineChars="200" w:firstLine="440"/>
      </w:pPr>
      <w:r>
        <w:t>ア</w:t>
      </w:r>
      <w:r w:rsidR="00317391">
        <w:rPr>
          <w:rFonts w:hint="eastAsia"/>
        </w:rPr>
        <w:t xml:space="preserve">　</w:t>
      </w:r>
      <w:r>
        <w:rPr>
          <w:spacing w:val="12"/>
        </w:rPr>
        <w:t>危険物を取</w:t>
      </w:r>
      <w:r w:rsidR="000D1405">
        <w:rPr>
          <w:rFonts w:hint="eastAsia"/>
          <w:spacing w:val="12"/>
        </w:rPr>
        <w:t>り</w:t>
      </w:r>
      <w:r>
        <w:rPr>
          <w:spacing w:val="12"/>
        </w:rPr>
        <w:t>扱う場合は、可能な限り屋外で行う。</w:t>
      </w:r>
    </w:p>
    <w:p w:rsidR="00A42EFE" w:rsidRDefault="00F060A5" w:rsidP="00142BEA">
      <w:pPr>
        <w:pStyle w:val="a3"/>
        <w:spacing w:before="57" w:line="285" w:lineRule="auto"/>
        <w:ind w:leftChars="200" w:left="660" w:right="32" w:hangingChars="100" w:hanging="220"/>
      </w:pPr>
      <w:r>
        <w:t>イ</w:t>
      </w:r>
      <w:r w:rsidR="00317391">
        <w:rPr>
          <w:rFonts w:hint="eastAsia"/>
        </w:rPr>
        <w:t xml:space="preserve">　</w:t>
      </w:r>
      <w:r>
        <w:t>屋内で危険物を取</w:t>
      </w:r>
      <w:r w:rsidR="000D1405">
        <w:rPr>
          <w:rFonts w:hint="eastAsia"/>
        </w:rPr>
        <w:t>り</w:t>
      </w:r>
      <w:r>
        <w:t>扱う場合にあっても、可燃性蒸気が滞留しないよう換気に注意する。</w:t>
      </w:r>
    </w:p>
    <w:p w:rsidR="00A42EFE" w:rsidRDefault="00DB47F0" w:rsidP="00DB47F0">
      <w:pPr>
        <w:pStyle w:val="a3"/>
        <w:spacing w:before="57"/>
      </w:pPr>
      <w:r>
        <w:rPr>
          <w:rFonts w:hint="eastAsia"/>
          <w:noProof/>
          <w:position w:val="-2"/>
        </w:rPr>
        <w:t>（２）</w:t>
      </w:r>
      <w:r w:rsidR="00F060A5">
        <w:rPr>
          <w:spacing w:val="12"/>
        </w:rPr>
        <w:t>保有空地の確保</w:t>
      </w:r>
    </w:p>
    <w:p w:rsidR="00A42EFE" w:rsidRDefault="00F060A5" w:rsidP="00317391">
      <w:pPr>
        <w:pStyle w:val="a3"/>
        <w:spacing w:before="56"/>
        <w:ind w:firstLineChars="200" w:firstLine="440"/>
      </w:pPr>
      <w:r>
        <w:t>ア</w:t>
      </w:r>
      <w:r w:rsidR="00317391">
        <w:rPr>
          <w:rFonts w:hint="eastAsia"/>
        </w:rPr>
        <w:t xml:space="preserve">　</w:t>
      </w:r>
      <w:r w:rsidRPr="00317391">
        <w:rPr>
          <w:spacing w:val="12"/>
        </w:rPr>
        <w:t>危険物</w:t>
      </w:r>
      <w:r>
        <w:t>の規制に関する政令第１６条第１項第４号の規定の例により保有空地を確保する。</w:t>
      </w:r>
    </w:p>
    <w:p w:rsidR="00A42EFE" w:rsidRDefault="00F060A5" w:rsidP="00317391">
      <w:pPr>
        <w:pStyle w:val="a3"/>
        <w:spacing w:before="56"/>
        <w:ind w:leftChars="200" w:left="660" w:hangingChars="100" w:hanging="220"/>
      </w:pPr>
      <w:r>
        <w:t>イ</w:t>
      </w:r>
      <w:r w:rsidR="00317391">
        <w:rPr>
          <w:rFonts w:hint="eastAsia"/>
        </w:rPr>
        <w:t xml:space="preserve">　</w:t>
      </w:r>
      <w:r w:rsidRPr="00317391">
        <w:rPr>
          <w:spacing w:val="12"/>
        </w:rPr>
        <w:t>上記</w:t>
      </w:r>
      <w:r>
        <w:t>アにかかわらず危険物の貯蔵・取扱い形態から想定される流出危険性及び火災危険性が小さい場合は、当該危険性を踏まえた空地の幅とすることができる。</w:t>
      </w:r>
    </w:p>
    <w:p w:rsidR="00A42EFE" w:rsidRDefault="00F060A5" w:rsidP="005E12D5">
      <w:pPr>
        <w:pStyle w:val="a3"/>
        <w:spacing w:line="288" w:lineRule="auto"/>
        <w:ind w:firstLineChars="200" w:firstLine="440"/>
      </w:pPr>
      <w:r>
        <w:t>ウ</w:t>
      </w:r>
      <w:r w:rsidR="00317391">
        <w:rPr>
          <w:rFonts w:hint="eastAsia"/>
        </w:rPr>
        <w:t xml:space="preserve">　</w:t>
      </w:r>
      <w:r>
        <w:rPr>
          <w:spacing w:val="12"/>
        </w:rPr>
        <w:t>保有空地の周囲には、柵、ロープ等を立てて空地を確保する。</w:t>
      </w:r>
    </w:p>
    <w:p w:rsidR="00A42EFE" w:rsidRDefault="00DB47F0" w:rsidP="005E12D5">
      <w:pPr>
        <w:pStyle w:val="a3"/>
        <w:spacing w:line="288" w:lineRule="auto"/>
      </w:pPr>
      <w:r>
        <w:rPr>
          <w:rFonts w:hint="eastAsia"/>
          <w:spacing w:val="12"/>
        </w:rPr>
        <w:t>（３）</w:t>
      </w:r>
      <w:r w:rsidR="00F060A5">
        <w:rPr>
          <w:spacing w:val="12"/>
        </w:rPr>
        <w:t>標識等の設置</w:t>
      </w:r>
    </w:p>
    <w:p w:rsidR="00A42EFE" w:rsidRDefault="00F060A5" w:rsidP="005E12D5">
      <w:pPr>
        <w:pStyle w:val="a3"/>
        <w:spacing w:line="288" w:lineRule="auto"/>
        <w:ind w:leftChars="200" w:left="440" w:firstLineChars="100" w:firstLine="232"/>
      </w:pPr>
      <w:r w:rsidRPr="00317391">
        <w:rPr>
          <w:spacing w:val="12"/>
        </w:rPr>
        <w:t>危険物</w:t>
      </w:r>
      <w:r>
        <w:t>の仮貯蔵・仮取扱いを行う場所では、見やすい箇所に標識・掲示板を掲出して関係者に注意喚起を行う。</w:t>
      </w:r>
    </w:p>
    <w:p w:rsidR="00A42EFE" w:rsidRDefault="00DB47F0" w:rsidP="00DB47F0">
      <w:pPr>
        <w:pStyle w:val="a3"/>
        <w:spacing w:before="1"/>
      </w:pPr>
      <w:r>
        <w:rPr>
          <w:rFonts w:hint="eastAsia"/>
          <w:noProof/>
          <w:position w:val="-2"/>
        </w:rPr>
        <w:t>（４）</w:t>
      </w:r>
      <w:r w:rsidR="00F060A5">
        <w:rPr>
          <w:spacing w:val="12"/>
        </w:rPr>
        <w:t>流出防止対策</w:t>
      </w:r>
    </w:p>
    <w:p w:rsidR="00A42EFE" w:rsidRDefault="00F060A5" w:rsidP="005E12D5">
      <w:pPr>
        <w:pStyle w:val="a3"/>
        <w:spacing w:line="288" w:lineRule="auto"/>
        <w:ind w:leftChars="200" w:left="440" w:firstLineChars="100" w:firstLine="220"/>
      </w:pPr>
      <w:r>
        <w:t>流出した危険物が拡散しない形状の場所を選定するとともに、危険物の貯蔵・取扱いに伴い大量の危険物が流出する危険性がある場合は、吸着マットの用意や簡易の防油堤を設置する等、必要な流出防止対策を</w:t>
      </w:r>
      <w:r w:rsidR="00DB47F0">
        <w:rPr>
          <w:rFonts w:hint="eastAsia"/>
        </w:rPr>
        <w:t>実施</w:t>
      </w:r>
      <w:r>
        <w:t>する。</w:t>
      </w:r>
    </w:p>
    <w:p w:rsidR="00A42EFE" w:rsidRDefault="005E12D5" w:rsidP="005E12D5">
      <w:pPr>
        <w:pStyle w:val="a3"/>
        <w:spacing w:line="288" w:lineRule="auto"/>
      </w:pPr>
      <w:r>
        <w:rPr>
          <w:rFonts w:hint="eastAsia"/>
          <w:spacing w:val="12"/>
        </w:rPr>
        <w:t>（５）</w:t>
      </w:r>
      <w:r w:rsidR="00F060A5">
        <w:rPr>
          <w:spacing w:val="12"/>
        </w:rPr>
        <w:t>火気使用の制限</w:t>
      </w:r>
    </w:p>
    <w:p w:rsidR="00A42EFE" w:rsidRDefault="00F060A5" w:rsidP="005E12D5">
      <w:pPr>
        <w:pStyle w:val="a3"/>
        <w:spacing w:line="288" w:lineRule="auto"/>
        <w:ind w:leftChars="200" w:left="440" w:firstLineChars="100" w:firstLine="220"/>
      </w:pPr>
      <w:r>
        <w:t>保有空地を含め、危険物の貯蔵・取扱い場所での火気使用を禁止する。</w:t>
      </w:r>
    </w:p>
    <w:p w:rsidR="00A42EFE" w:rsidRDefault="005E12D5" w:rsidP="00D76159">
      <w:pPr>
        <w:pStyle w:val="a3"/>
        <w:spacing w:line="288" w:lineRule="auto"/>
      </w:pPr>
      <w:r>
        <w:rPr>
          <w:rFonts w:hint="eastAsia"/>
          <w:spacing w:val="12"/>
        </w:rPr>
        <w:t>（６）</w:t>
      </w:r>
      <w:r w:rsidR="00F060A5">
        <w:rPr>
          <w:spacing w:val="12"/>
        </w:rPr>
        <w:t>静電気対策</w:t>
      </w:r>
    </w:p>
    <w:p w:rsidR="00A42EFE" w:rsidRDefault="00F060A5" w:rsidP="00D76159">
      <w:pPr>
        <w:pStyle w:val="a3"/>
        <w:spacing w:line="288" w:lineRule="auto"/>
        <w:ind w:leftChars="200" w:left="660" w:hangingChars="100" w:hanging="220"/>
      </w:pPr>
      <w:r>
        <w:t>ア</w:t>
      </w:r>
      <w:r w:rsidR="00317391">
        <w:rPr>
          <w:rFonts w:hint="eastAsia"/>
        </w:rPr>
        <w:t xml:space="preserve">　</w:t>
      </w:r>
      <w:r w:rsidRPr="00317391">
        <w:rPr>
          <w:spacing w:val="12"/>
        </w:rPr>
        <w:t>ガソリン</w:t>
      </w:r>
      <w:r>
        <w:rPr>
          <w:spacing w:val="18"/>
        </w:rPr>
        <w:t>等の</w:t>
      </w:r>
      <w:r>
        <w:rPr>
          <w:spacing w:val="16"/>
        </w:rPr>
        <w:t>第</w:t>
      </w:r>
      <w:r>
        <w:rPr>
          <w:spacing w:val="18"/>
        </w:rPr>
        <w:t>４</w:t>
      </w:r>
      <w:r>
        <w:rPr>
          <w:spacing w:val="16"/>
        </w:rPr>
        <w:t>類</w:t>
      </w:r>
      <w:r>
        <w:rPr>
          <w:spacing w:val="18"/>
        </w:rPr>
        <w:t>第１</w:t>
      </w:r>
      <w:r>
        <w:rPr>
          <w:spacing w:val="16"/>
        </w:rPr>
        <w:t>石</w:t>
      </w:r>
      <w:r>
        <w:rPr>
          <w:spacing w:val="18"/>
        </w:rPr>
        <w:t>油類</w:t>
      </w:r>
      <w:r>
        <w:rPr>
          <w:spacing w:val="16"/>
        </w:rPr>
        <w:t>を</w:t>
      </w:r>
      <w:r>
        <w:rPr>
          <w:spacing w:val="18"/>
        </w:rPr>
        <w:t>取</w:t>
      </w:r>
      <w:r w:rsidR="00F51A3E">
        <w:rPr>
          <w:rFonts w:hint="eastAsia"/>
          <w:spacing w:val="18"/>
        </w:rPr>
        <w:t>り</w:t>
      </w:r>
      <w:r>
        <w:rPr>
          <w:spacing w:val="16"/>
        </w:rPr>
        <w:t>扱</w:t>
      </w:r>
      <w:r>
        <w:rPr>
          <w:spacing w:val="18"/>
        </w:rPr>
        <w:t>う</w:t>
      </w:r>
      <w:r>
        <w:rPr>
          <w:spacing w:val="16"/>
        </w:rPr>
        <w:t>場</w:t>
      </w:r>
      <w:r>
        <w:rPr>
          <w:spacing w:val="18"/>
        </w:rPr>
        <w:t>合</w:t>
      </w:r>
      <w:r>
        <w:rPr>
          <w:spacing w:val="24"/>
        </w:rPr>
        <w:t>は</w:t>
      </w:r>
      <w:r>
        <w:rPr>
          <w:spacing w:val="16"/>
        </w:rPr>
        <w:t>、</w:t>
      </w:r>
      <w:r>
        <w:rPr>
          <w:spacing w:val="18"/>
        </w:rPr>
        <w:t>危険</w:t>
      </w:r>
      <w:r>
        <w:rPr>
          <w:spacing w:val="16"/>
        </w:rPr>
        <w:t>物</w:t>
      </w:r>
      <w:r>
        <w:rPr>
          <w:spacing w:val="18"/>
        </w:rPr>
        <w:t>容</w:t>
      </w:r>
      <w:r>
        <w:rPr>
          <w:spacing w:val="16"/>
        </w:rPr>
        <w:t>器</w:t>
      </w:r>
      <w:r>
        <w:t>（</w:t>
      </w:r>
      <w:r>
        <w:rPr>
          <w:spacing w:val="16"/>
        </w:rPr>
        <w:t>ド</w:t>
      </w:r>
      <w:r>
        <w:rPr>
          <w:spacing w:val="18"/>
        </w:rPr>
        <w:t>ラム</w:t>
      </w:r>
      <w:r>
        <w:rPr>
          <w:spacing w:val="16"/>
        </w:rPr>
        <w:t>本</w:t>
      </w:r>
      <w:r>
        <w:rPr>
          <w:spacing w:val="22"/>
        </w:rPr>
        <w:t>体</w:t>
      </w:r>
      <w:r>
        <w:t>、</w:t>
      </w:r>
      <w:r>
        <w:rPr>
          <w:spacing w:val="16"/>
        </w:rPr>
        <w:t>詰</w:t>
      </w:r>
      <w:r>
        <w:rPr>
          <w:spacing w:val="18"/>
        </w:rPr>
        <w:t>め替え</w:t>
      </w:r>
      <w:r>
        <w:rPr>
          <w:spacing w:val="16"/>
        </w:rPr>
        <w:t>容</w:t>
      </w:r>
      <w:r>
        <w:rPr>
          <w:spacing w:val="18"/>
        </w:rPr>
        <w:t>器</w:t>
      </w:r>
      <w:r>
        <w:t>）</w:t>
      </w:r>
      <w:r>
        <w:rPr>
          <w:spacing w:val="18"/>
        </w:rPr>
        <w:t>だ</w:t>
      </w:r>
      <w:r>
        <w:rPr>
          <w:spacing w:val="16"/>
        </w:rPr>
        <w:t>け</w:t>
      </w:r>
      <w:r>
        <w:rPr>
          <w:spacing w:val="18"/>
        </w:rPr>
        <w:t>で</w:t>
      </w:r>
      <w:r>
        <w:rPr>
          <w:spacing w:val="16"/>
        </w:rPr>
        <w:t>な</w:t>
      </w:r>
      <w:r>
        <w:rPr>
          <w:spacing w:val="22"/>
        </w:rPr>
        <w:t>く</w:t>
      </w:r>
      <w:r>
        <w:rPr>
          <w:spacing w:val="19"/>
        </w:rPr>
        <w:t>、</w:t>
      </w:r>
      <w:r>
        <w:rPr>
          <w:spacing w:val="18"/>
        </w:rPr>
        <w:t>給</w:t>
      </w:r>
      <w:r>
        <w:rPr>
          <w:spacing w:val="16"/>
        </w:rPr>
        <w:t>油</w:t>
      </w:r>
      <w:r>
        <w:rPr>
          <w:spacing w:val="18"/>
        </w:rPr>
        <w:t>に使用</w:t>
      </w:r>
      <w:r>
        <w:rPr>
          <w:spacing w:val="16"/>
        </w:rPr>
        <w:t>す</w:t>
      </w:r>
      <w:r>
        <w:rPr>
          <w:spacing w:val="18"/>
        </w:rPr>
        <w:t>る</w:t>
      </w:r>
      <w:r>
        <w:rPr>
          <w:spacing w:val="16"/>
        </w:rPr>
        <w:t>ド</w:t>
      </w:r>
      <w:r>
        <w:rPr>
          <w:spacing w:val="18"/>
        </w:rPr>
        <w:t>ラムポ</w:t>
      </w:r>
      <w:r>
        <w:rPr>
          <w:spacing w:val="16"/>
        </w:rPr>
        <w:t>ン</w:t>
      </w:r>
      <w:r>
        <w:rPr>
          <w:spacing w:val="18"/>
        </w:rPr>
        <w:t>プ等</w:t>
      </w:r>
      <w:r>
        <w:rPr>
          <w:spacing w:val="16"/>
        </w:rPr>
        <w:t>の</w:t>
      </w:r>
      <w:r>
        <w:rPr>
          <w:spacing w:val="18"/>
        </w:rPr>
        <w:t>アー</w:t>
      </w:r>
      <w:r>
        <w:rPr>
          <w:spacing w:val="16"/>
        </w:rPr>
        <w:t>ス</w:t>
      </w:r>
      <w:r>
        <w:rPr>
          <w:spacing w:val="18"/>
        </w:rPr>
        <w:t>も確保</w:t>
      </w:r>
      <w:r>
        <w:rPr>
          <w:spacing w:val="24"/>
        </w:rPr>
        <w:t>し</w:t>
      </w:r>
      <w:r>
        <w:t>、</w:t>
      </w:r>
      <w:r>
        <w:rPr>
          <w:spacing w:val="12"/>
        </w:rPr>
        <w:t>確実に静電気を除去する。電動機は、防爆製品を使用する。</w:t>
      </w:r>
    </w:p>
    <w:p w:rsidR="00A42EFE" w:rsidRDefault="00F060A5" w:rsidP="00D76159">
      <w:pPr>
        <w:pStyle w:val="a3"/>
        <w:spacing w:line="288" w:lineRule="auto"/>
        <w:ind w:leftChars="200" w:left="660" w:hangingChars="100" w:hanging="220"/>
      </w:pPr>
      <w:r>
        <w:t>イ</w:t>
      </w:r>
      <w:r w:rsidR="00317391">
        <w:rPr>
          <w:rFonts w:hint="eastAsia"/>
        </w:rPr>
        <w:t xml:space="preserve">　</w:t>
      </w:r>
      <w:r>
        <w:t>静電誘導による帯電を防止するために、危険物の貯蔵・取扱い場所には可能な限り金属類を置かず、どうしても必要な場合には当該金属類も確実にアース又はボンディング（導体同士を電線で接続すること。）を確保する。</w:t>
      </w:r>
    </w:p>
    <w:p w:rsidR="00A42EFE" w:rsidRDefault="00F060A5" w:rsidP="00D76159">
      <w:pPr>
        <w:pStyle w:val="a3"/>
        <w:spacing w:line="288" w:lineRule="auto"/>
        <w:ind w:leftChars="200" w:left="660" w:hangingChars="100" w:hanging="220"/>
      </w:pPr>
      <w:r>
        <w:t>ウ</w:t>
      </w:r>
      <w:r w:rsidR="00317391">
        <w:rPr>
          <w:rFonts w:hint="eastAsia"/>
        </w:rPr>
        <w:t xml:space="preserve">　</w:t>
      </w:r>
      <w:r>
        <w:t>絶縁性素材の用具は極力使用しない（遮光や防風にもビニール等帯電しやすい素材を用いることを避ける。）。</w:t>
      </w:r>
    </w:p>
    <w:p w:rsidR="00A42EFE" w:rsidRDefault="00F060A5" w:rsidP="00D76159">
      <w:pPr>
        <w:pStyle w:val="a3"/>
        <w:spacing w:line="288" w:lineRule="auto"/>
        <w:ind w:leftChars="200" w:left="660" w:hangingChars="100" w:hanging="220"/>
      </w:pPr>
      <w:r>
        <w:t>エ</w:t>
      </w:r>
      <w:r w:rsidR="00317391">
        <w:rPr>
          <w:rFonts w:hint="eastAsia"/>
        </w:rPr>
        <w:t xml:space="preserve">　</w:t>
      </w:r>
      <w:r>
        <w:t>危険物を取り扱う作業者は静電安全靴の着用等静電気対策を行うとともに、作業服を着脱した後には必ずアースされている金属等に触れて危険物の取扱い時における人体の帯電量を小さくする。</w:t>
      </w:r>
    </w:p>
    <w:p w:rsidR="00A42EFE" w:rsidRDefault="00F060A5" w:rsidP="00D76159">
      <w:pPr>
        <w:pStyle w:val="a3"/>
        <w:spacing w:line="288" w:lineRule="auto"/>
        <w:ind w:leftChars="200" w:left="660" w:hangingChars="100" w:hanging="220"/>
      </w:pPr>
      <w:r>
        <w:t>オ</w:t>
      </w:r>
      <w:r w:rsidR="00227EA7">
        <w:rPr>
          <w:rFonts w:hint="eastAsia"/>
        </w:rPr>
        <w:t xml:space="preserve">　</w:t>
      </w:r>
      <w:r w:rsidRPr="00302558">
        <w:t>作業</w:t>
      </w:r>
      <w:r>
        <w:rPr>
          <w:spacing w:val="12"/>
        </w:rPr>
        <w:t>場所にビニールシート等を敷く場合に</w:t>
      </w:r>
      <w:r>
        <w:rPr>
          <w:spacing w:val="13"/>
        </w:rPr>
        <w:t>は</w:t>
      </w:r>
      <w:r>
        <w:rPr>
          <w:spacing w:val="12"/>
        </w:rPr>
        <w:t>、導電性の確保に</w:t>
      </w:r>
      <w:r w:rsidRPr="00D76159">
        <w:t>留意</w:t>
      </w:r>
      <w:r>
        <w:rPr>
          <w:spacing w:val="12"/>
        </w:rPr>
        <w:t>する。</w:t>
      </w:r>
    </w:p>
    <w:p w:rsidR="00A42EFE" w:rsidRDefault="00F060A5" w:rsidP="00D76159">
      <w:pPr>
        <w:pStyle w:val="a3"/>
        <w:spacing w:line="288" w:lineRule="auto"/>
        <w:ind w:leftChars="200" w:left="660" w:hangingChars="100" w:hanging="220"/>
      </w:pPr>
      <w:r>
        <w:t>カ</w:t>
      </w:r>
      <w:r w:rsidR="00302558">
        <w:rPr>
          <w:rFonts w:hint="eastAsia"/>
        </w:rPr>
        <w:t xml:space="preserve">　</w:t>
      </w:r>
      <w:r>
        <w:t>給油・</w:t>
      </w:r>
      <w:r w:rsidR="005E12D5">
        <w:rPr>
          <w:rFonts w:hint="eastAsia"/>
        </w:rPr>
        <w:t>移し替え</w:t>
      </w:r>
      <w:r>
        <w:t>等の場合、その流速を可能な限り小さく抑える（充填の初期最大流速は１ｍ／ｓ）とともに、高所から危険物を放出してタンク壁面等に危険物が勢いよく接触する状況を避ける。または充填後はしばらく静置する。</w:t>
      </w:r>
    </w:p>
    <w:p w:rsidR="00A42EFE" w:rsidRDefault="00F060A5" w:rsidP="00D76159">
      <w:pPr>
        <w:pStyle w:val="a3"/>
        <w:spacing w:line="288" w:lineRule="auto"/>
        <w:ind w:leftChars="200" w:left="660" w:hangingChars="100" w:hanging="220"/>
      </w:pPr>
      <w:r>
        <w:t>キ</w:t>
      </w:r>
      <w:r w:rsidR="00302558">
        <w:rPr>
          <w:rFonts w:hint="eastAsia"/>
        </w:rPr>
        <w:t xml:space="preserve">　</w:t>
      </w:r>
      <w:r>
        <w:rPr>
          <w:spacing w:val="16"/>
        </w:rPr>
        <w:t>第</w:t>
      </w:r>
      <w:r>
        <w:rPr>
          <w:spacing w:val="18"/>
        </w:rPr>
        <w:t>４類</w:t>
      </w:r>
      <w:r>
        <w:rPr>
          <w:spacing w:val="16"/>
        </w:rPr>
        <w:t>第</w:t>
      </w:r>
      <w:r>
        <w:t>１</w:t>
      </w:r>
      <w:r>
        <w:rPr>
          <w:spacing w:val="-89"/>
        </w:rPr>
        <w:t xml:space="preserve"> </w:t>
      </w:r>
      <w:r>
        <w:rPr>
          <w:spacing w:val="18"/>
        </w:rPr>
        <w:t>石</w:t>
      </w:r>
      <w:r>
        <w:rPr>
          <w:spacing w:val="16"/>
        </w:rPr>
        <w:t>油</w:t>
      </w:r>
      <w:r>
        <w:rPr>
          <w:spacing w:val="18"/>
        </w:rPr>
        <w:t>類</w:t>
      </w:r>
      <w:r>
        <w:rPr>
          <w:spacing w:val="16"/>
        </w:rPr>
        <w:t>以</w:t>
      </w:r>
      <w:r>
        <w:rPr>
          <w:spacing w:val="18"/>
        </w:rPr>
        <w:t>外の</w:t>
      </w:r>
      <w:r>
        <w:rPr>
          <w:spacing w:val="16"/>
        </w:rPr>
        <w:t>危</w:t>
      </w:r>
      <w:r>
        <w:rPr>
          <w:spacing w:val="18"/>
        </w:rPr>
        <w:t>険物</w:t>
      </w:r>
      <w:r>
        <w:rPr>
          <w:spacing w:val="16"/>
        </w:rPr>
        <w:t>を</w:t>
      </w:r>
      <w:r>
        <w:rPr>
          <w:spacing w:val="18"/>
        </w:rPr>
        <w:t>貯</w:t>
      </w:r>
      <w:r>
        <w:rPr>
          <w:spacing w:val="16"/>
        </w:rPr>
        <w:t>蔵</w:t>
      </w:r>
      <w:r>
        <w:rPr>
          <w:spacing w:val="22"/>
        </w:rPr>
        <w:t>し</w:t>
      </w:r>
      <w:r>
        <w:rPr>
          <w:spacing w:val="16"/>
        </w:rPr>
        <w:t>、</w:t>
      </w:r>
      <w:r>
        <w:rPr>
          <w:spacing w:val="19"/>
        </w:rPr>
        <w:t>又は</w:t>
      </w:r>
      <w:r>
        <w:rPr>
          <w:spacing w:val="16"/>
        </w:rPr>
        <w:t>取</w:t>
      </w:r>
      <w:r w:rsidR="00F51A3E">
        <w:rPr>
          <w:rFonts w:hint="eastAsia"/>
          <w:spacing w:val="16"/>
        </w:rPr>
        <w:t>り</w:t>
      </w:r>
      <w:r>
        <w:rPr>
          <w:spacing w:val="18"/>
        </w:rPr>
        <w:t>扱う</w:t>
      </w:r>
      <w:r>
        <w:rPr>
          <w:spacing w:val="16"/>
        </w:rPr>
        <w:t>場</w:t>
      </w:r>
      <w:r>
        <w:rPr>
          <w:spacing w:val="18"/>
        </w:rPr>
        <w:t>合</w:t>
      </w:r>
      <w:r>
        <w:rPr>
          <w:spacing w:val="16"/>
        </w:rPr>
        <w:t>で</w:t>
      </w:r>
      <w:r>
        <w:rPr>
          <w:spacing w:val="18"/>
        </w:rPr>
        <w:t>あ</w:t>
      </w:r>
      <w:r>
        <w:rPr>
          <w:spacing w:val="16"/>
        </w:rPr>
        <w:t>っ</w:t>
      </w:r>
      <w:r>
        <w:rPr>
          <w:spacing w:val="18"/>
        </w:rPr>
        <w:t>て</w:t>
      </w:r>
      <w:r>
        <w:rPr>
          <w:spacing w:val="21"/>
        </w:rPr>
        <w:t>も</w:t>
      </w:r>
      <w:r>
        <w:rPr>
          <w:spacing w:val="16"/>
        </w:rPr>
        <w:t>、</w:t>
      </w:r>
      <w:r>
        <w:rPr>
          <w:spacing w:val="19"/>
        </w:rPr>
        <w:t>可能</w:t>
      </w:r>
      <w:r>
        <w:t>な限り静電気対策を行う。</w:t>
      </w:r>
    </w:p>
    <w:p w:rsidR="00A42EFE" w:rsidRDefault="005E12D5" w:rsidP="005E12D5">
      <w:pPr>
        <w:pStyle w:val="a3"/>
        <w:spacing w:before="1"/>
      </w:pPr>
      <w:r>
        <w:rPr>
          <w:rFonts w:hint="eastAsia"/>
          <w:spacing w:val="12"/>
        </w:rPr>
        <w:t>（７）</w:t>
      </w:r>
      <w:r w:rsidR="00F060A5">
        <w:rPr>
          <w:spacing w:val="12"/>
        </w:rPr>
        <w:t>消火設備の設置</w:t>
      </w:r>
    </w:p>
    <w:p w:rsidR="00A42EFE" w:rsidRDefault="00F060A5" w:rsidP="007715EE">
      <w:pPr>
        <w:pStyle w:val="a3"/>
        <w:spacing w:before="54"/>
        <w:ind w:firstLineChars="300" w:firstLine="660"/>
      </w:pPr>
      <w:r>
        <w:t>取</w:t>
      </w:r>
      <w:r w:rsidR="00F51A3E">
        <w:rPr>
          <w:rFonts w:hint="eastAsia"/>
        </w:rPr>
        <w:t>り</w:t>
      </w:r>
      <w:r>
        <w:t>扱う危険物に応じた消火設備（消火器等）を用意する。</w:t>
      </w:r>
    </w:p>
    <w:p w:rsidR="00A42EFE" w:rsidRDefault="00A913BD" w:rsidP="00A913BD">
      <w:pPr>
        <w:pStyle w:val="a3"/>
        <w:spacing w:before="56"/>
      </w:pPr>
      <w:r>
        <w:rPr>
          <w:rFonts w:hint="eastAsia"/>
          <w:noProof/>
          <w:position w:val="-2"/>
        </w:rPr>
        <w:t>（８）</w:t>
      </w:r>
      <w:r w:rsidR="00F060A5">
        <w:rPr>
          <w:spacing w:val="12"/>
        </w:rPr>
        <w:t>取扱い場所の管理</w:t>
      </w:r>
    </w:p>
    <w:p w:rsidR="00A42EFE" w:rsidRDefault="00F060A5" w:rsidP="00A913BD">
      <w:pPr>
        <w:pStyle w:val="a3"/>
        <w:spacing w:line="288" w:lineRule="auto"/>
        <w:ind w:leftChars="200" w:left="440" w:firstLineChars="100" w:firstLine="220"/>
      </w:pPr>
      <w:r>
        <w:lastRenderedPageBreak/>
        <w:t>危険物を取</w:t>
      </w:r>
      <w:r w:rsidR="00F51A3E">
        <w:rPr>
          <w:rFonts w:hint="eastAsia"/>
        </w:rPr>
        <w:t>り</w:t>
      </w:r>
      <w:r>
        <w:t>扱う場所は明確に区分しておくとともに、作業に関係がない者の立入りを厳に禁ずる。</w:t>
      </w:r>
    </w:p>
    <w:p w:rsidR="00A42EFE" w:rsidRDefault="00A913BD" w:rsidP="004018C2">
      <w:pPr>
        <w:pStyle w:val="a3"/>
        <w:spacing w:line="288" w:lineRule="auto"/>
      </w:pPr>
      <w:r>
        <w:rPr>
          <w:rFonts w:hint="eastAsia"/>
          <w:noProof/>
          <w:position w:val="-2"/>
        </w:rPr>
        <w:t>（９）</w:t>
      </w:r>
      <w:r w:rsidR="00F060A5">
        <w:rPr>
          <w:spacing w:val="12"/>
        </w:rPr>
        <w:t>危険物取扱者の立会い等</w:t>
      </w:r>
    </w:p>
    <w:p w:rsidR="00A42EFE" w:rsidRDefault="00F060A5" w:rsidP="004018C2">
      <w:pPr>
        <w:pStyle w:val="a3"/>
        <w:spacing w:line="288" w:lineRule="auto"/>
        <w:ind w:leftChars="200" w:left="660" w:hangingChars="100" w:hanging="220"/>
      </w:pPr>
      <w:r>
        <w:t>ア</w:t>
      </w:r>
      <w:r w:rsidR="00302558">
        <w:rPr>
          <w:rFonts w:hint="eastAsia"/>
        </w:rPr>
        <w:t xml:space="preserve">　</w:t>
      </w:r>
      <w:r w:rsidRPr="00302558">
        <w:rPr>
          <w:spacing w:val="16"/>
        </w:rPr>
        <w:t>危険物</w:t>
      </w:r>
      <w:r>
        <w:t>の取扱いに際しては、可能な限り危険物取扱者免状保有者自身が取り扱うか、立ち会う。</w:t>
      </w:r>
    </w:p>
    <w:p w:rsidR="00A42EFE" w:rsidRDefault="00F060A5" w:rsidP="00A913BD">
      <w:pPr>
        <w:pStyle w:val="a3"/>
        <w:spacing w:line="288" w:lineRule="auto"/>
        <w:ind w:leftChars="200" w:left="660" w:hangingChars="100" w:hanging="220"/>
      </w:pPr>
      <w:r>
        <w:t>イ</w:t>
      </w:r>
      <w:r w:rsidR="00302558">
        <w:rPr>
          <w:rFonts w:hint="eastAsia"/>
        </w:rPr>
        <w:t xml:space="preserve">　</w:t>
      </w:r>
      <w:r>
        <w:t>危険物の貯蔵・取扱いの全体管理業務は危険物取扱</w:t>
      </w:r>
      <w:r w:rsidR="00377E90">
        <w:rPr>
          <w:rFonts w:hint="eastAsia"/>
        </w:rPr>
        <w:t>い</w:t>
      </w:r>
      <w:r>
        <w:t>に関する有資格者等専門知識を有する者が行う。</w:t>
      </w:r>
    </w:p>
    <w:p w:rsidR="00A913BD" w:rsidRPr="00A913BD" w:rsidRDefault="00A913BD" w:rsidP="004018C2">
      <w:pPr>
        <w:pStyle w:val="a3"/>
        <w:spacing w:line="288" w:lineRule="auto"/>
        <w:rPr>
          <w:spacing w:val="12"/>
        </w:rPr>
      </w:pPr>
      <w:r>
        <w:rPr>
          <w:rFonts w:hint="eastAsia"/>
          <w:spacing w:val="12"/>
        </w:rPr>
        <w:t>（10）</w:t>
      </w:r>
      <w:r w:rsidR="00F060A5">
        <w:rPr>
          <w:spacing w:val="12"/>
        </w:rPr>
        <w:t>二次災害の発生防止</w:t>
      </w:r>
    </w:p>
    <w:p w:rsidR="00302558" w:rsidRDefault="00F060A5" w:rsidP="004018C2">
      <w:pPr>
        <w:pStyle w:val="a3"/>
        <w:spacing w:line="288" w:lineRule="auto"/>
        <w:ind w:leftChars="300" w:left="660"/>
      </w:pPr>
      <w:r>
        <w:t>余震</w:t>
      </w:r>
      <w:r w:rsidRPr="00302558">
        <w:rPr>
          <w:spacing w:val="16"/>
        </w:rPr>
        <w:t>発生</w:t>
      </w:r>
      <w:r>
        <w:t>、避難勧告発令時等における対応について予め定めておく。</w:t>
      </w:r>
    </w:p>
    <w:p w:rsidR="00302558" w:rsidRDefault="00A913BD" w:rsidP="004332E2">
      <w:pPr>
        <w:pStyle w:val="a3"/>
        <w:spacing w:line="288" w:lineRule="auto"/>
      </w:pPr>
      <w:r>
        <w:rPr>
          <w:rFonts w:hint="eastAsia"/>
          <w:spacing w:val="12"/>
        </w:rPr>
        <w:t>（11）</w:t>
      </w:r>
      <w:r w:rsidR="00F060A5">
        <w:rPr>
          <w:spacing w:val="12"/>
        </w:rPr>
        <w:t>安全対策を講ずる上で必要な資機材等の準備</w:t>
      </w:r>
    </w:p>
    <w:p w:rsidR="00A42EFE" w:rsidRDefault="00F060A5" w:rsidP="004332E2">
      <w:pPr>
        <w:pStyle w:val="a3"/>
        <w:spacing w:line="288" w:lineRule="auto"/>
        <w:ind w:firstLineChars="300" w:firstLine="660"/>
      </w:pPr>
      <w:r>
        <w:t>安全対策上、必要となる資機材等は、事前に調達先・調達手順等について予め定めておく。</w:t>
      </w:r>
    </w:p>
    <w:p w:rsidR="00A42EFE" w:rsidRDefault="00F060A5" w:rsidP="004332E2">
      <w:pPr>
        <w:pStyle w:val="a3"/>
        <w:spacing w:line="288" w:lineRule="auto"/>
      </w:pPr>
      <w:r>
        <w:t>２</w:t>
      </w:r>
      <w:r w:rsidR="00302558">
        <w:rPr>
          <w:rFonts w:hint="eastAsia"/>
        </w:rPr>
        <w:t xml:space="preserve">　</w:t>
      </w:r>
      <w:r>
        <w:rPr>
          <w:spacing w:val="12"/>
        </w:rPr>
        <w:t>危険物の取扱い形態別の対策</w:t>
      </w:r>
    </w:p>
    <w:p w:rsidR="00A42EFE" w:rsidRDefault="00F060A5" w:rsidP="009705E9">
      <w:pPr>
        <w:pStyle w:val="a3"/>
        <w:spacing w:line="288" w:lineRule="auto"/>
        <w:ind w:leftChars="100" w:left="220" w:right="32" w:firstLineChars="100" w:firstLine="220"/>
      </w:pPr>
      <w:r>
        <w:t>１に示した危険物の仮貯蔵・仮取扱いに際して共通して講ずべき対策に加え、危険物の取扱い形態別の対策は次による。</w:t>
      </w:r>
    </w:p>
    <w:p w:rsidR="00A42EFE" w:rsidRDefault="00F060A5" w:rsidP="004332E2">
      <w:pPr>
        <w:pStyle w:val="a3"/>
        <w:spacing w:line="288" w:lineRule="auto"/>
      </w:pPr>
      <w:r>
        <w:t>（１）ドラム缶等による燃料の貯蔵及び取扱い</w:t>
      </w:r>
    </w:p>
    <w:p w:rsidR="00377E90" w:rsidRDefault="00F060A5" w:rsidP="004018C2">
      <w:pPr>
        <w:pStyle w:val="a3"/>
        <w:spacing w:line="288" w:lineRule="auto"/>
        <w:ind w:leftChars="200" w:left="660" w:hangingChars="100" w:hanging="220"/>
      </w:pPr>
      <w:r>
        <w:t>ア</w:t>
      </w:r>
      <w:r w:rsidR="00302558">
        <w:rPr>
          <w:rFonts w:hint="eastAsia"/>
        </w:rPr>
        <w:t xml:space="preserve">　</w:t>
      </w:r>
      <w:r>
        <w:t>屋内においてドラム缶等による燃料の貯蔵を行う場合は、当該場所の通風・換気を確保する。</w:t>
      </w:r>
    </w:p>
    <w:p w:rsidR="00A42EFE" w:rsidRDefault="00377E90" w:rsidP="004018C2">
      <w:pPr>
        <w:pStyle w:val="a3"/>
        <w:spacing w:line="288" w:lineRule="auto"/>
        <w:ind w:leftChars="300" w:left="660" w:firstLineChars="100" w:firstLine="220"/>
      </w:pPr>
      <w:r>
        <w:rPr>
          <w:rFonts w:hint="eastAsia"/>
        </w:rPr>
        <w:t>また、</w:t>
      </w:r>
      <w:r w:rsidR="00F060A5">
        <w:t>ガソリン等の第４類第１石油類を、夏場の気温の上昇や直射日光等によりドラム缶等の温度上昇のおそれがある場所で貯蔵し、又は取</w:t>
      </w:r>
      <w:r w:rsidR="00F51A3E">
        <w:rPr>
          <w:rFonts w:hint="eastAsia"/>
        </w:rPr>
        <w:t>り</w:t>
      </w:r>
      <w:r w:rsidR="00F060A5">
        <w:t>扱うことは、当該危険物の温度上昇及び圧力上昇により火災、流出事故の危険性が高まるため、厳に慎む。</w:t>
      </w:r>
    </w:p>
    <w:p w:rsidR="00A42EFE" w:rsidRDefault="00F060A5" w:rsidP="004018C2">
      <w:pPr>
        <w:pStyle w:val="a3"/>
        <w:spacing w:line="288" w:lineRule="auto"/>
        <w:ind w:leftChars="200" w:left="660" w:right="34" w:hangingChars="100" w:hanging="220"/>
      </w:pPr>
      <w:r>
        <w:t>イ</w:t>
      </w:r>
      <w:r w:rsidR="00302558">
        <w:rPr>
          <w:rFonts w:hint="eastAsia"/>
        </w:rPr>
        <w:t xml:space="preserve">　</w:t>
      </w:r>
      <w:r>
        <w:t>ドラム缶等からの給油、小分けについては、可燃性蒸気の滞留防止の観点から、可能な</w:t>
      </w:r>
      <w:r w:rsidR="000D1405">
        <w:rPr>
          <w:rFonts w:hint="eastAsia"/>
        </w:rPr>
        <w:t>限り</w:t>
      </w:r>
      <w:r>
        <w:t>屋外で行う。やむを得ず屋内で行う場合は、壁２面以上が開放された場所で行うなど、通風・換気の確保された場所で行う。特にガソリン等の第４類第１石油類の給油・小分けに際しては、ドラム缶等の蓋を開ける前に周囲の安全や火気使用制限の確認を徹底する。</w:t>
      </w:r>
    </w:p>
    <w:p w:rsidR="00A42EFE" w:rsidRDefault="00F060A5" w:rsidP="004018C2">
      <w:pPr>
        <w:pStyle w:val="a3"/>
        <w:spacing w:line="288" w:lineRule="auto"/>
        <w:ind w:leftChars="200" w:left="660" w:right="34" w:hangingChars="100" w:hanging="220"/>
      </w:pPr>
      <w:r>
        <w:t>ウ</w:t>
      </w:r>
      <w:r w:rsidR="00302558">
        <w:rPr>
          <w:rFonts w:hint="eastAsia"/>
        </w:rPr>
        <w:t xml:space="preserve">　</w:t>
      </w:r>
      <w:r>
        <w:t>燃料の小分け等の危険物の取扱いを行う場所は、ドラム缶等が集積されている貯蔵場所から離れた別の場所に確保するとともに、取扱い場所の危険物量は可能な限り少なくする。</w:t>
      </w:r>
    </w:p>
    <w:p w:rsidR="00A42EFE" w:rsidRDefault="00F060A5" w:rsidP="004018C2">
      <w:pPr>
        <w:pStyle w:val="a3"/>
        <w:spacing w:line="288" w:lineRule="auto"/>
        <w:ind w:leftChars="200" w:left="660" w:right="34" w:hangingChars="100" w:hanging="220"/>
      </w:pPr>
      <w:r>
        <w:t>エ</w:t>
      </w:r>
      <w:r w:rsidR="00302558">
        <w:rPr>
          <w:rFonts w:hint="eastAsia"/>
        </w:rPr>
        <w:t xml:space="preserve">　</w:t>
      </w:r>
      <w:r>
        <w:t>ドラム缶等から自動車にガソリンを給油する場合、ガソリンが満タンになった場合に自動的に停止する機能がなく、更に給油中にガソリンの液面の位置を把握することが困難であることから、過剰給油によりガソリンが給油口から溢れ出してしまう危険性があることに留意し、細心の注意を払って給油するとともに、静電気対策を含めた出火防止対策を十分に行う。</w:t>
      </w:r>
    </w:p>
    <w:p w:rsidR="00A42EFE" w:rsidRDefault="00F060A5" w:rsidP="00252CA6">
      <w:pPr>
        <w:pStyle w:val="a3"/>
        <w:spacing w:line="288" w:lineRule="auto"/>
      </w:pPr>
      <w:r>
        <w:t>（２）危険物を収納する設備等からの危険物の抜取り</w:t>
      </w:r>
    </w:p>
    <w:p w:rsidR="00252CA6" w:rsidRDefault="00F060A5" w:rsidP="00C86799">
      <w:pPr>
        <w:pStyle w:val="a3"/>
        <w:spacing w:line="288" w:lineRule="auto"/>
        <w:ind w:leftChars="200" w:left="440" w:right="32" w:firstLineChars="100" w:firstLine="220"/>
      </w:pPr>
      <w:r>
        <w:t>変圧器等の危険物を収納する設備について、点検、修理するために危険物を抜き取る場合は、大量の危険物が流出する危険性があることから、仮設防油堤の設置、漏えい防止シートの敷設等の流出防止対策を講じるとともに、配管の結合部からの流出防止対策として必要に応じてオイルパンを設置する必要がある。</w:t>
      </w:r>
    </w:p>
    <w:p w:rsidR="00A42EFE" w:rsidRDefault="00252CA6" w:rsidP="00C86799">
      <w:pPr>
        <w:pStyle w:val="a3"/>
        <w:spacing w:line="288" w:lineRule="auto"/>
        <w:ind w:leftChars="200" w:left="440" w:right="32" w:firstLineChars="100" w:firstLine="220"/>
      </w:pPr>
      <w:r>
        <w:rPr>
          <w:rFonts w:hint="eastAsia"/>
        </w:rPr>
        <w:t>また</w:t>
      </w:r>
      <w:r w:rsidR="00F060A5">
        <w:t>、危険物の流出量を小さくするために、１</w:t>
      </w:r>
      <w:r>
        <w:rPr>
          <w:rFonts w:hint="eastAsia"/>
        </w:rPr>
        <w:t>か</w:t>
      </w:r>
      <w:r w:rsidR="00F060A5">
        <w:t>所の取扱い場所で複数の設備からの抜き出しを同時に行うことを避ける。</w:t>
      </w:r>
    </w:p>
    <w:p w:rsidR="00A42EFE" w:rsidRDefault="00F060A5" w:rsidP="00476400">
      <w:pPr>
        <w:pStyle w:val="a3"/>
        <w:spacing w:beforeLines="50" w:before="120" w:line="281" w:lineRule="exact"/>
      </w:pPr>
      <w:r>
        <w:t>（３）移動タンク貯蔵所等からの給油、注油等</w:t>
      </w:r>
    </w:p>
    <w:p w:rsidR="00A42EFE" w:rsidRDefault="00F060A5" w:rsidP="00C86799">
      <w:pPr>
        <w:pStyle w:val="a3"/>
        <w:spacing w:before="53" w:line="288" w:lineRule="auto"/>
        <w:ind w:leftChars="200" w:left="440" w:right="32" w:firstLineChars="100" w:firstLine="220"/>
      </w:pPr>
      <w:r>
        <w:t>移動タンク貯蔵所から直接給油又は容器への詰め替え（危険物の規制に関する政令第２７</w:t>
      </w:r>
      <w:r>
        <w:lastRenderedPageBreak/>
        <w:t>条第６項第４号イ及びロ（危険物の規制に関する規則第４０条の５及び第４０条の５の２）で認められている取扱い（①注入ホースをタンクに緊結して注入する場合、②先端に手動開閉装置を設けた注入ノズルにより、引火点</w:t>
      </w:r>
      <w:r w:rsidR="00DE175A">
        <w:rPr>
          <w:rFonts w:hint="eastAsia"/>
        </w:rPr>
        <w:t>４０</w:t>
      </w:r>
      <w:r>
        <w:t>度以上の危険物を指定数量未満、貯蔵又は取</w:t>
      </w:r>
      <w:r w:rsidR="00DE175A">
        <w:rPr>
          <w:rFonts w:hint="eastAsia"/>
        </w:rPr>
        <w:t>り</w:t>
      </w:r>
      <w:r>
        <w:t>扱うタンクに注入する場合、③先端に手動開閉装置を設けた注入ノズルにより、引火点</w:t>
      </w:r>
      <w:r w:rsidR="00D93DEB">
        <w:rPr>
          <w:rFonts w:hint="eastAsia"/>
        </w:rPr>
        <w:t xml:space="preserve">　</w:t>
      </w:r>
      <w:r w:rsidR="00DE175A">
        <w:rPr>
          <w:rFonts w:hint="eastAsia"/>
        </w:rPr>
        <w:t>４０</w:t>
      </w:r>
      <w:r>
        <w:t>度以上の危険物を指定数量未満、容器に詰め替える場合）を除く。）を行う場合には、原則としてガソリン以外の危険物とするとともに、特に周囲の安全確保及び流出対策として次の事項に留意する。</w:t>
      </w:r>
    </w:p>
    <w:p w:rsidR="00A42EFE" w:rsidRDefault="00F060A5" w:rsidP="00C86799">
      <w:pPr>
        <w:pStyle w:val="a3"/>
        <w:spacing w:line="288" w:lineRule="auto"/>
        <w:ind w:leftChars="200" w:left="660" w:right="32" w:hangingChars="100" w:hanging="220"/>
      </w:pPr>
      <w:r>
        <w:t>ア</w:t>
      </w:r>
      <w:r w:rsidR="00DE791D">
        <w:rPr>
          <w:rFonts w:hint="eastAsia"/>
        </w:rPr>
        <w:t xml:space="preserve">　</w:t>
      </w:r>
      <w:r>
        <w:rPr>
          <w:spacing w:val="12"/>
        </w:rPr>
        <w:t>危険物を取</w:t>
      </w:r>
      <w:r w:rsidR="00F51A3E">
        <w:rPr>
          <w:rFonts w:hint="eastAsia"/>
          <w:spacing w:val="12"/>
        </w:rPr>
        <w:t>り</w:t>
      </w:r>
      <w:r>
        <w:rPr>
          <w:spacing w:val="12"/>
        </w:rPr>
        <w:t>扱う</w:t>
      </w:r>
      <w:r>
        <w:rPr>
          <w:spacing w:val="14"/>
        </w:rPr>
        <w:t>場</w:t>
      </w:r>
      <w:r>
        <w:rPr>
          <w:spacing w:val="12"/>
        </w:rPr>
        <w:t>所を明確に定め、</w:t>
      </w:r>
      <w:r>
        <w:rPr>
          <w:spacing w:val="11"/>
        </w:rPr>
        <w:t>空</w:t>
      </w:r>
      <w:r>
        <w:rPr>
          <w:spacing w:val="14"/>
        </w:rPr>
        <w:t>地</w:t>
      </w:r>
      <w:r>
        <w:rPr>
          <w:spacing w:val="11"/>
        </w:rPr>
        <w:t>の確保や標識の設置</w:t>
      </w:r>
      <w:r>
        <w:rPr>
          <w:spacing w:val="14"/>
        </w:rPr>
        <w:t>等</w:t>
      </w:r>
      <w:r>
        <w:rPr>
          <w:spacing w:val="11"/>
        </w:rPr>
        <w:t>を行うととも</w:t>
      </w:r>
      <w:r>
        <w:rPr>
          <w:spacing w:val="17"/>
        </w:rPr>
        <w:t>に</w:t>
      </w:r>
      <w:r>
        <w:t>、</w:t>
      </w:r>
      <w:r>
        <w:rPr>
          <w:spacing w:val="12"/>
        </w:rPr>
        <w:t>給油や詰め替えに関係ない者の立入りを厳に</w:t>
      </w:r>
      <w:r>
        <w:rPr>
          <w:spacing w:val="13"/>
        </w:rPr>
        <w:t>禁</w:t>
      </w:r>
      <w:r>
        <w:rPr>
          <w:spacing w:val="12"/>
        </w:rPr>
        <w:t>ずる</w:t>
      </w:r>
      <w:r>
        <w:t>。</w:t>
      </w:r>
    </w:p>
    <w:p w:rsidR="00A42EFE" w:rsidRDefault="00F060A5" w:rsidP="00C86799">
      <w:pPr>
        <w:pStyle w:val="a3"/>
        <w:spacing w:before="54" w:line="288" w:lineRule="auto"/>
        <w:ind w:leftChars="200" w:left="660" w:right="349" w:hangingChars="100" w:hanging="220"/>
      </w:pPr>
      <w:r>
        <w:t>イ</w:t>
      </w:r>
      <w:r w:rsidR="00DE791D">
        <w:rPr>
          <w:rFonts w:hint="eastAsia"/>
        </w:rPr>
        <w:t xml:space="preserve">　</w:t>
      </w:r>
      <w:r>
        <w:rPr>
          <w:spacing w:val="12"/>
        </w:rPr>
        <w:t>吸着マット等危険物の流出時の応急資機材を準備しておく。</w:t>
      </w:r>
    </w:p>
    <w:p w:rsidR="00A42EFE" w:rsidRDefault="00F060A5" w:rsidP="009705E9">
      <w:pPr>
        <w:pStyle w:val="a3"/>
        <w:spacing w:before="54" w:line="288" w:lineRule="auto"/>
        <w:ind w:leftChars="200" w:left="660" w:right="32" w:hangingChars="100" w:hanging="220"/>
        <w:jc w:val="both"/>
      </w:pPr>
      <w:r>
        <w:t>ウ</w:t>
      </w:r>
      <w:r w:rsidR="00DE791D">
        <w:rPr>
          <w:rFonts w:hint="eastAsia"/>
        </w:rPr>
        <w:t xml:space="preserve">　</w:t>
      </w:r>
      <w:r>
        <w:t>移動タンク貯蔵所から移動タンク貯蔵所への注入を行う場合は、注入口と注入ホースを緊結する。ただし、注入される側のタンク容量が１，０００リットル未満で、引火点が</w:t>
      </w:r>
      <w:r w:rsidR="00B821B6">
        <w:rPr>
          <w:rFonts w:hint="eastAsia"/>
        </w:rPr>
        <w:t xml:space="preserve">　</w:t>
      </w:r>
      <w:r>
        <w:t>４０度以上の危険物に限り、注入ホースの先端部に手動開閉装置を備えた注入ノズル（手動開閉装置を開放の状態で固定する装置を備えたものを除く。）により注入を行うことができる。</w:t>
      </w:r>
    </w:p>
    <w:p w:rsidR="00A42EFE" w:rsidRDefault="00F060A5" w:rsidP="007142B0">
      <w:pPr>
        <w:pStyle w:val="a3"/>
        <w:spacing w:line="288" w:lineRule="auto"/>
        <w:ind w:leftChars="200" w:left="660" w:right="352" w:hangingChars="100" w:hanging="220"/>
      </w:pPr>
      <w:r>
        <w:t>エ</w:t>
      </w:r>
      <w:r w:rsidR="00DE791D">
        <w:rPr>
          <w:rFonts w:hint="eastAsia"/>
        </w:rPr>
        <w:t xml:space="preserve">　</w:t>
      </w:r>
      <w:r>
        <w:rPr>
          <w:spacing w:val="12"/>
        </w:rPr>
        <w:t>ホース等に残った危険物は適切に処理する</w:t>
      </w:r>
      <w:r>
        <w:t>。</w:t>
      </w:r>
    </w:p>
    <w:p w:rsidR="00A42EFE" w:rsidRDefault="00F060A5" w:rsidP="007142B0">
      <w:pPr>
        <w:pStyle w:val="a3"/>
        <w:spacing w:line="288" w:lineRule="auto"/>
        <w:ind w:leftChars="200" w:left="660" w:right="176" w:hangingChars="100" w:hanging="220"/>
      </w:pPr>
      <w:r>
        <w:t>オ</w:t>
      </w:r>
      <w:r w:rsidR="00DE791D">
        <w:rPr>
          <w:rFonts w:hint="eastAsia"/>
        </w:rPr>
        <w:t xml:space="preserve">　</w:t>
      </w:r>
      <w:r>
        <w:t>移動タンク貯蔵所から直接給油する形態では吹きこぼしが発生するおそれがあるので、吹きこぼし防止に細心の注意を払って給油する。</w:t>
      </w:r>
    </w:p>
    <w:p w:rsidR="00A42EFE" w:rsidRDefault="00252CA6" w:rsidP="007142B0">
      <w:pPr>
        <w:pStyle w:val="a3"/>
        <w:spacing w:line="288" w:lineRule="auto"/>
        <w:ind w:leftChars="200" w:left="660" w:right="34" w:hangingChars="100" w:hanging="220"/>
      </w:pPr>
      <w:r>
        <w:rPr>
          <w:rFonts w:hint="eastAsia"/>
        </w:rPr>
        <w:t>カ</w:t>
      </w:r>
      <w:r w:rsidR="00DE791D">
        <w:rPr>
          <w:rFonts w:hint="eastAsia"/>
        </w:rPr>
        <w:t xml:space="preserve">　</w:t>
      </w:r>
      <w:r w:rsidR="00F060A5">
        <w:t>震災時等で、広範囲にわたって給油取扱所の再開の見込みが立たず、応急対応や被災地での生活を営む上で、移動タンク貯蔵所から直接ガソリンを給油する必要に迫られている場合においても、ガソリンは引火点が－４０度以下と非常に低く、静電気等の火花でも容易に着火する危険性があることや、可燃性蒸気が空気より重く広範囲に拡大して滞留するおそれがある（２００リットルの流出事故で最大３０ｍの範囲まで可燃性蒸気密度が高くなる可能性がある。）こと等、二次災害の発生防止が極めて重要なことから、次に掲げる危険性について十分な安全対策を実施し、それぞれに適切な対応が必要である。</w:t>
      </w:r>
    </w:p>
    <w:p w:rsidR="00A42EFE" w:rsidRDefault="0059737E" w:rsidP="007142B0">
      <w:pPr>
        <w:pStyle w:val="a3"/>
        <w:spacing w:line="288" w:lineRule="auto"/>
        <w:ind w:firstLineChars="200" w:firstLine="440"/>
      </w:pPr>
      <w:r>
        <w:rPr>
          <w:rFonts w:hint="eastAsia"/>
        </w:rPr>
        <w:t>・</w:t>
      </w:r>
      <w:r w:rsidR="00F060A5">
        <w:t>給油時のもれ・あふれ等による流出事故の防止対策</w:t>
      </w:r>
    </w:p>
    <w:p w:rsidR="0059737E" w:rsidRDefault="00F060A5" w:rsidP="00D93DEB">
      <w:pPr>
        <w:pStyle w:val="a3"/>
        <w:spacing w:line="288" w:lineRule="auto"/>
        <w:ind w:leftChars="300" w:left="660"/>
      </w:pPr>
      <w:r>
        <w:t>（給油取扱所の給油設備には、自動車タンク満量時の自動停止機能や安全に給油できる最大吐出量の設定等により、給油時のもれ・あふれ等を防止している。）</w:t>
      </w:r>
    </w:p>
    <w:p w:rsidR="0059737E" w:rsidRDefault="0059737E" w:rsidP="0059737E">
      <w:pPr>
        <w:pStyle w:val="a3"/>
        <w:spacing w:before="56"/>
        <w:ind w:firstLineChars="200" w:firstLine="440"/>
      </w:pPr>
      <w:r>
        <w:rPr>
          <w:rFonts w:hint="eastAsia"/>
        </w:rPr>
        <w:t>・</w:t>
      </w:r>
      <w:r>
        <w:t>流出事故が発生した場合の火災防止対策</w:t>
      </w:r>
    </w:p>
    <w:p w:rsidR="00A42EFE" w:rsidRDefault="00F060A5" w:rsidP="00D93DEB">
      <w:pPr>
        <w:pStyle w:val="a3"/>
        <w:spacing w:line="280" w:lineRule="exact"/>
        <w:ind w:leftChars="300" w:left="660"/>
      </w:pPr>
      <w:r>
        <w:t>（給油取扱所では、万が一ガソリンが流出した場合においても、流出したガソリンや可燃性蒸気が滞留せず、かつ、漏れたガソリンを敷地外に流出させないための傾斜や排水溝、貯留設備があり、給油空地外に被害が拡大することを防止している。）</w:t>
      </w:r>
    </w:p>
    <w:p w:rsidR="00A42EFE" w:rsidRDefault="000040FC" w:rsidP="000040FC">
      <w:pPr>
        <w:pStyle w:val="a3"/>
        <w:spacing w:before="56"/>
        <w:ind w:firstLineChars="200" w:firstLine="440"/>
      </w:pPr>
      <w:r>
        <w:rPr>
          <w:rFonts w:hint="eastAsia"/>
        </w:rPr>
        <w:t>・</w:t>
      </w:r>
      <w:r w:rsidR="00F060A5">
        <w:t>火災が発生した場合の人的被害防止対策</w:t>
      </w:r>
    </w:p>
    <w:p w:rsidR="00A42EFE" w:rsidRDefault="00F060A5" w:rsidP="00D93DEB">
      <w:pPr>
        <w:pStyle w:val="a3"/>
        <w:spacing w:line="280" w:lineRule="exact"/>
        <w:ind w:leftChars="300" w:left="660"/>
      </w:pPr>
      <w:r>
        <w:t>（給油取扱所では給油に関係ない者の立ち入りが管理されているが、震災時等においては、給油場所での給油希望者の行列などによる多数の利用者の集中が考えられる。）</w:t>
      </w:r>
    </w:p>
    <w:p w:rsidR="00A42EFE" w:rsidRDefault="000040FC" w:rsidP="000040FC">
      <w:pPr>
        <w:pStyle w:val="a3"/>
        <w:spacing w:before="56"/>
        <w:ind w:firstLineChars="200" w:firstLine="440"/>
      </w:pPr>
      <w:r>
        <w:rPr>
          <w:rFonts w:hint="eastAsia"/>
        </w:rPr>
        <w:t>・</w:t>
      </w:r>
      <w:r w:rsidR="00F060A5">
        <w:t>火災が発生した場合の周囲への延焼拡大防止対策</w:t>
      </w:r>
    </w:p>
    <w:p w:rsidR="00A42EFE" w:rsidRDefault="00F060A5" w:rsidP="00D93DEB">
      <w:pPr>
        <w:pStyle w:val="a3"/>
        <w:spacing w:line="280" w:lineRule="exact"/>
        <w:ind w:leftChars="300" w:left="660"/>
      </w:pPr>
      <w:r>
        <w:t>（給油取扱所では防火塀等の措置が講じられているが、震災時においては、周辺建物の損壊等による延焼拡大危険性の増大が考えられる。）</w:t>
      </w:r>
    </w:p>
    <w:p w:rsidR="00A42EFE" w:rsidRDefault="000040FC" w:rsidP="000040FC">
      <w:pPr>
        <w:pStyle w:val="a3"/>
        <w:spacing w:before="56"/>
        <w:ind w:firstLineChars="200" w:firstLine="440"/>
      </w:pPr>
      <w:r>
        <w:rPr>
          <w:rFonts w:hint="eastAsia"/>
        </w:rPr>
        <w:t>・</w:t>
      </w:r>
      <w:r w:rsidR="00F060A5">
        <w:t>火気管理の徹底</w:t>
      </w:r>
    </w:p>
    <w:p w:rsidR="00F9739D" w:rsidRDefault="00F060A5" w:rsidP="00577AA9">
      <w:pPr>
        <w:pStyle w:val="a3"/>
        <w:spacing w:line="280" w:lineRule="exact"/>
        <w:ind w:leftChars="300" w:left="660"/>
        <w:rPr>
          <w:rFonts w:ascii="Times New Roman" w:hint="eastAsia"/>
          <w:sz w:val="24"/>
          <w:szCs w:val="32"/>
        </w:rPr>
      </w:pPr>
      <w:r>
        <w:t>（給油取扱所では、給油時の自動車等の原動機を停止させる、電気設備は防爆機器を使用するなど、可燃性蒸気対策がされている。</w:t>
      </w:r>
      <w:bookmarkStart w:id="0" w:name="_GoBack"/>
      <w:bookmarkEnd w:id="0"/>
    </w:p>
    <w:sectPr w:rsidR="00F9739D" w:rsidSect="006D1585">
      <w:footerReference w:type="default" r:id="rId8"/>
      <w:pgSz w:w="11910" w:h="16840"/>
      <w:pgMar w:top="1540" w:right="1080" w:bottom="1240" w:left="130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942" w:rsidRDefault="00827942">
      <w:r>
        <w:separator/>
      </w:r>
    </w:p>
  </w:endnote>
  <w:endnote w:type="continuationSeparator" w:id="0">
    <w:p w:rsidR="00827942" w:rsidRDefault="0082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5F" w:rsidRDefault="00AD3B5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942" w:rsidRDefault="00827942">
      <w:r>
        <w:separator/>
      </w:r>
    </w:p>
  </w:footnote>
  <w:footnote w:type="continuationSeparator" w:id="0">
    <w:p w:rsidR="00827942" w:rsidRDefault="00827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903"/>
    <w:multiLevelType w:val="hybridMultilevel"/>
    <w:tmpl w:val="F6DE4A50"/>
    <w:lvl w:ilvl="0" w:tplc="3EB4F784">
      <w:numFmt w:val="bullet"/>
      <w:lvlText w:val="●"/>
      <w:lvlJc w:val="left"/>
      <w:pPr>
        <w:ind w:left="2785" w:hanging="233"/>
      </w:pPr>
      <w:rPr>
        <w:rFonts w:ascii="ＭＳ 明朝" w:eastAsia="ＭＳ 明朝" w:hAnsi="ＭＳ 明朝" w:cs="ＭＳ 明朝" w:hint="default"/>
        <w:b/>
        <w:bCs/>
        <w:spacing w:val="12"/>
        <w:w w:val="99"/>
        <w:sz w:val="20"/>
        <w:szCs w:val="20"/>
        <w:lang w:val="ja-JP" w:eastAsia="ja-JP" w:bidi="ja-JP"/>
      </w:rPr>
    </w:lvl>
    <w:lvl w:ilvl="1" w:tplc="401CD37C">
      <w:numFmt w:val="bullet"/>
      <w:lvlText w:val="●"/>
      <w:lvlJc w:val="left"/>
      <w:pPr>
        <w:ind w:left="3954" w:hanging="468"/>
      </w:pPr>
      <w:rPr>
        <w:rFonts w:ascii="ＭＳ 明朝" w:eastAsia="ＭＳ 明朝" w:hAnsi="ＭＳ 明朝" w:cs="ＭＳ 明朝" w:hint="default"/>
        <w:b/>
        <w:bCs/>
        <w:w w:val="99"/>
        <w:sz w:val="22"/>
        <w:szCs w:val="22"/>
        <w:lang w:val="ja-JP" w:eastAsia="ja-JP" w:bidi="ja-JP"/>
      </w:rPr>
    </w:lvl>
    <w:lvl w:ilvl="2" w:tplc="B41E977A">
      <w:numFmt w:val="bullet"/>
      <w:lvlText w:val="•"/>
      <w:lvlJc w:val="left"/>
      <w:pPr>
        <w:ind w:left="4578" w:hanging="468"/>
      </w:pPr>
      <w:rPr>
        <w:rFonts w:hint="default"/>
        <w:lang w:val="ja-JP" w:eastAsia="ja-JP" w:bidi="ja-JP"/>
      </w:rPr>
    </w:lvl>
    <w:lvl w:ilvl="3" w:tplc="ACE690F8">
      <w:numFmt w:val="bullet"/>
      <w:lvlText w:val="•"/>
      <w:lvlJc w:val="left"/>
      <w:pPr>
        <w:ind w:left="5196" w:hanging="468"/>
      </w:pPr>
      <w:rPr>
        <w:rFonts w:hint="default"/>
        <w:lang w:val="ja-JP" w:eastAsia="ja-JP" w:bidi="ja-JP"/>
      </w:rPr>
    </w:lvl>
    <w:lvl w:ilvl="4" w:tplc="1BE439C2">
      <w:numFmt w:val="bullet"/>
      <w:lvlText w:val="•"/>
      <w:lvlJc w:val="left"/>
      <w:pPr>
        <w:ind w:left="5815" w:hanging="468"/>
      </w:pPr>
      <w:rPr>
        <w:rFonts w:hint="default"/>
        <w:lang w:val="ja-JP" w:eastAsia="ja-JP" w:bidi="ja-JP"/>
      </w:rPr>
    </w:lvl>
    <w:lvl w:ilvl="5" w:tplc="31142138">
      <w:numFmt w:val="bullet"/>
      <w:lvlText w:val="•"/>
      <w:lvlJc w:val="left"/>
      <w:pPr>
        <w:ind w:left="6433" w:hanging="468"/>
      </w:pPr>
      <w:rPr>
        <w:rFonts w:hint="default"/>
        <w:lang w:val="ja-JP" w:eastAsia="ja-JP" w:bidi="ja-JP"/>
      </w:rPr>
    </w:lvl>
    <w:lvl w:ilvl="6" w:tplc="E6A88100">
      <w:numFmt w:val="bullet"/>
      <w:lvlText w:val="•"/>
      <w:lvlJc w:val="left"/>
      <w:pPr>
        <w:ind w:left="7052" w:hanging="468"/>
      </w:pPr>
      <w:rPr>
        <w:rFonts w:hint="default"/>
        <w:lang w:val="ja-JP" w:eastAsia="ja-JP" w:bidi="ja-JP"/>
      </w:rPr>
    </w:lvl>
    <w:lvl w:ilvl="7" w:tplc="6A2A5F7A">
      <w:numFmt w:val="bullet"/>
      <w:lvlText w:val="•"/>
      <w:lvlJc w:val="left"/>
      <w:pPr>
        <w:ind w:left="7670" w:hanging="468"/>
      </w:pPr>
      <w:rPr>
        <w:rFonts w:hint="default"/>
        <w:lang w:val="ja-JP" w:eastAsia="ja-JP" w:bidi="ja-JP"/>
      </w:rPr>
    </w:lvl>
    <w:lvl w:ilvl="8" w:tplc="650E4FA4">
      <w:numFmt w:val="bullet"/>
      <w:lvlText w:val="•"/>
      <w:lvlJc w:val="left"/>
      <w:pPr>
        <w:ind w:left="8289" w:hanging="468"/>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42EFE"/>
    <w:rsid w:val="000040FC"/>
    <w:rsid w:val="00026F5C"/>
    <w:rsid w:val="00031396"/>
    <w:rsid w:val="00041218"/>
    <w:rsid w:val="00042CB7"/>
    <w:rsid w:val="00054499"/>
    <w:rsid w:val="000571CB"/>
    <w:rsid w:val="000613AD"/>
    <w:rsid w:val="000B78C6"/>
    <w:rsid w:val="000C7DEB"/>
    <w:rsid w:val="000D1405"/>
    <w:rsid w:val="000F0552"/>
    <w:rsid w:val="0012302A"/>
    <w:rsid w:val="00135E67"/>
    <w:rsid w:val="00142BEA"/>
    <w:rsid w:val="0014552C"/>
    <w:rsid w:val="00154557"/>
    <w:rsid w:val="00157FB3"/>
    <w:rsid w:val="001628AD"/>
    <w:rsid w:val="00170CE1"/>
    <w:rsid w:val="00175D38"/>
    <w:rsid w:val="001A3EE4"/>
    <w:rsid w:val="001A4F3C"/>
    <w:rsid w:val="001A6C0E"/>
    <w:rsid w:val="001A7C09"/>
    <w:rsid w:val="001F104A"/>
    <w:rsid w:val="0020720A"/>
    <w:rsid w:val="002211D7"/>
    <w:rsid w:val="00227EA7"/>
    <w:rsid w:val="00230BF8"/>
    <w:rsid w:val="00243D62"/>
    <w:rsid w:val="00252CA6"/>
    <w:rsid w:val="00293D51"/>
    <w:rsid w:val="00297191"/>
    <w:rsid w:val="002B4817"/>
    <w:rsid w:val="002C0F6D"/>
    <w:rsid w:val="002C2466"/>
    <w:rsid w:val="002C37C2"/>
    <w:rsid w:val="00302558"/>
    <w:rsid w:val="00306B0A"/>
    <w:rsid w:val="00317391"/>
    <w:rsid w:val="00320ADD"/>
    <w:rsid w:val="00335C5E"/>
    <w:rsid w:val="00345135"/>
    <w:rsid w:val="00355AB4"/>
    <w:rsid w:val="00377E90"/>
    <w:rsid w:val="003879CB"/>
    <w:rsid w:val="003B2790"/>
    <w:rsid w:val="003B7FEF"/>
    <w:rsid w:val="004018C2"/>
    <w:rsid w:val="00412731"/>
    <w:rsid w:val="004332E2"/>
    <w:rsid w:val="00441BA1"/>
    <w:rsid w:val="00446C3B"/>
    <w:rsid w:val="00462E66"/>
    <w:rsid w:val="00466CB9"/>
    <w:rsid w:val="00476400"/>
    <w:rsid w:val="00491446"/>
    <w:rsid w:val="004C49CB"/>
    <w:rsid w:val="004F2383"/>
    <w:rsid w:val="005035D2"/>
    <w:rsid w:val="00526573"/>
    <w:rsid w:val="005441F5"/>
    <w:rsid w:val="005446AD"/>
    <w:rsid w:val="00554F57"/>
    <w:rsid w:val="00577AA9"/>
    <w:rsid w:val="005902D5"/>
    <w:rsid w:val="0059737E"/>
    <w:rsid w:val="005C4843"/>
    <w:rsid w:val="005E12D5"/>
    <w:rsid w:val="005E1A2A"/>
    <w:rsid w:val="0061165E"/>
    <w:rsid w:val="00631F92"/>
    <w:rsid w:val="0066226F"/>
    <w:rsid w:val="00665C75"/>
    <w:rsid w:val="00677B12"/>
    <w:rsid w:val="006804BB"/>
    <w:rsid w:val="00686E2F"/>
    <w:rsid w:val="006D1585"/>
    <w:rsid w:val="006D5485"/>
    <w:rsid w:val="006F3F06"/>
    <w:rsid w:val="007142B0"/>
    <w:rsid w:val="007715EE"/>
    <w:rsid w:val="007A7ADC"/>
    <w:rsid w:val="007C31B9"/>
    <w:rsid w:val="007E106B"/>
    <w:rsid w:val="007F48AC"/>
    <w:rsid w:val="00807F7A"/>
    <w:rsid w:val="00817C92"/>
    <w:rsid w:val="0082069B"/>
    <w:rsid w:val="00827942"/>
    <w:rsid w:val="00863484"/>
    <w:rsid w:val="008B7965"/>
    <w:rsid w:val="008D43D1"/>
    <w:rsid w:val="008E65A6"/>
    <w:rsid w:val="008F7B84"/>
    <w:rsid w:val="00900E0A"/>
    <w:rsid w:val="00917A85"/>
    <w:rsid w:val="00917D5F"/>
    <w:rsid w:val="009705E9"/>
    <w:rsid w:val="00975BC6"/>
    <w:rsid w:val="00995BD8"/>
    <w:rsid w:val="009B1B08"/>
    <w:rsid w:val="009E4DE4"/>
    <w:rsid w:val="009F77A6"/>
    <w:rsid w:val="00A13BE6"/>
    <w:rsid w:val="00A42EFE"/>
    <w:rsid w:val="00A50188"/>
    <w:rsid w:val="00A8221B"/>
    <w:rsid w:val="00A913BD"/>
    <w:rsid w:val="00A9689E"/>
    <w:rsid w:val="00AD0142"/>
    <w:rsid w:val="00AD3B5F"/>
    <w:rsid w:val="00AE241B"/>
    <w:rsid w:val="00B31FC0"/>
    <w:rsid w:val="00B45C83"/>
    <w:rsid w:val="00B52A08"/>
    <w:rsid w:val="00B821B6"/>
    <w:rsid w:val="00B93C3C"/>
    <w:rsid w:val="00BC4DDD"/>
    <w:rsid w:val="00BC7EB2"/>
    <w:rsid w:val="00BF6DD5"/>
    <w:rsid w:val="00C31B02"/>
    <w:rsid w:val="00C5431A"/>
    <w:rsid w:val="00C63018"/>
    <w:rsid w:val="00C64628"/>
    <w:rsid w:val="00C65F10"/>
    <w:rsid w:val="00C670FC"/>
    <w:rsid w:val="00C83267"/>
    <w:rsid w:val="00C86799"/>
    <w:rsid w:val="00C8798F"/>
    <w:rsid w:val="00C93158"/>
    <w:rsid w:val="00C9459F"/>
    <w:rsid w:val="00CD1801"/>
    <w:rsid w:val="00CD5343"/>
    <w:rsid w:val="00CD5EF0"/>
    <w:rsid w:val="00CF073A"/>
    <w:rsid w:val="00CF3911"/>
    <w:rsid w:val="00D000B4"/>
    <w:rsid w:val="00D2267C"/>
    <w:rsid w:val="00D331CC"/>
    <w:rsid w:val="00D443B3"/>
    <w:rsid w:val="00D478D8"/>
    <w:rsid w:val="00D63BE0"/>
    <w:rsid w:val="00D73CDC"/>
    <w:rsid w:val="00D76159"/>
    <w:rsid w:val="00D870DB"/>
    <w:rsid w:val="00D91958"/>
    <w:rsid w:val="00D93DEB"/>
    <w:rsid w:val="00DB47F0"/>
    <w:rsid w:val="00DC026E"/>
    <w:rsid w:val="00DD43DE"/>
    <w:rsid w:val="00DE175A"/>
    <w:rsid w:val="00DE791D"/>
    <w:rsid w:val="00E17941"/>
    <w:rsid w:val="00E319D6"/>
    <w:rsid w:val="00E4026E"/>
    <w:rsid w:val="00E42569"/>
    <w:rsid w:val="00E56DA0"/>
    <w:rsid w:val="00E63EE0"/>
    <w:rsid w:val="00E96C9A"/>
    <w:rsid w:val="00EA62A6"/>
    <w:rsid w:val="00EC07A2"/>
    <w:rsid w:val="00EE019B"/>
    <w:rsid w:val="00F05D29"/>
    <w:rsid w:val="00F060A5"/>
    <w:rsid w:val="00F51A3E"/>
    <w:rsid w:val="00F9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E9450"/>
  <w15:docId w15:val="{978B278B-11F3-438A-B284-B492E34A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70"/>
      <w:ind w:left="2785" w:hanging="468"/>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70"/>
      <w:ind w:left="2785" w:hanging="468"/>
    </w:pPr>
  </w:style>
  <w:style w:type="paragraph" w:customStyle="1" w:styleId="TableParagraph">
    <w:name w:val="Table Paragraph"/>
    <w:basedOn w:val="a"/>
    <w:uiPriority w:val="1"/>
    <w:qFormat/>
  </w:style>
  <w:style w:type="paragraph" w:styleId="a6">
    <w:name w:val="header"/>
    <w:basedOn w:val="a"/>
    <w:link w:val="a7"/>
    <w:uiPriority w:val="99"/>
    <w:unhideWhenUsed/>
    <w:rsid w:val="002B4817"/>
    <w:pPr>
      <w:tabs>
        <w:tab w:val="center" w:pos="4252"/>
        <w:tab w:val="right" w:pos="8504"/>
      </w:tabs>
      <w:snapToGrid w:val="0"/>
    </w:pPr>
  </w:style>
  <w:style w:type="character" w:customStyle="1" w:styleId="a7">
    <w:name w:val="ヘッダー (文字)"/>
    <w:basedOn w:val="a0"/>
    <w:link w:val="a6"/>
    <w:uiPriority w:val="99"/>
    <w:rsid w:val="002B4817"/>
    <w:rPr>
      <w:rFonts w:ascii="ＭＳ 明朝" w:eastAsia="ＭＳ 明朝" w:hAnsi="ＭＳ 明朝" w:cs="ＭＳ 明朝"/>
      <w:lang w:val="ja-JP" w:eastAsia="ja-JP" w:bidi="ja-JP"/>
    </w:rPr>
  </w:style>
  <w:style w:type="paragraph" w:styleId="a8">
    <w:name w:val="footer"/>
    <w:basedOn w:val="a"/>
    <w:link w:val="a9"/>
    <w:uiPriority w:val="99"/>
    <w:unhideWhenUsed/>
    <w:rsid w:val="002B4817"/>
    <w:pPr>
      <w:tabs>
        <w:tab w:val="center" w:pos="4252"/>
        <w:tab w:val="right" w:pos="8504"/>
      </w:tabs>
      <w:snapToGrid w:val="0"/>
    </w:pPr>
  </w:style>
  <w:style w:type="character" w:customStyle="1" w:styleId="a9">
    <w:name w:val="フッター (文字)"/>
    <w:basedOn w:val="a0"/>
    <w:link w:val="a8"/>
    <w:uiPriority w:val="99"/>
    <w:rsid w:val="002B4817"/>
    <w:rPr>
      <w:rFonts w:ascii="ＭＳ 明朝" w:eastAsia="ＭＳ 明朝" w:hAnsi="ＭＳ 明朝" w:cs="ＭＳ 明朝"/>
      <w:lang w:val="ja-JP" w:eastAsia="ja-JP" w:bidi="ja-JP"/>
    </w:rPr>
  </w:style>
  <w:style w:type="character" w:customStyle="1" w:styleId="a4">
    <w:name w:val="本文 (文字)"/>
    <w:basedOn w:val="a0"/>
    <w:link w:val="a3"/>
    <w:uiPriority w:val="1"/>
    <w:rsid w:val="002B4817"/>
    <w:rPr>
      <w:rFonts w:ascii="ＭＳ 明朝" w:eastAsia="ＭＳ 明朝" w:hAnsi="ＭＳ 明朝" w:cs="ＭＳ 明朝"/>
      <w:lang w:val="ja-JP" w:eastAsia="ja-JP" w:bidi="ja-JP"/>
    </w:rPr>
  </w:style>
  <w:style w:type="character" w:customStyle="1" w:styleId="p20">
    <w:name w:val="p20"/>
    <w:basedOn w:val="a0"/>
    <w:rsid w:val="00917A85"/>
  </w:style>
  <w:style w:type="paragraph" w:styleId="aa">
    <w:name w:val="Balloon Text"/>
    <w:basedOn w:val="a"/>
    <w:link w:val="ab"/>
    <w:uiPriority w:val="99"/>
    <w:semiHidden/>
    <w:unhideWhenUsed/>
    <w:rsid w:val="002C3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37C2"/>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F70A-BFD0-4DFB-B696-95150F75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3</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平成２３年８月日</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KYOK035</cp:lastModifiedBy>
  <cp:revision>98</cp:revision>
  <cp:lastPrinted>2024-03-21T07:27:00Z</cp:lastPrinted>
  <dcterms:created xsi:type="dcterms:W3CDTF">2023-01-23T05:34:00Z</dcterms:created>
  <dcterms:modified xsi:type="dcterms:W3CDTF">2024-04-26T05:39:00Z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2013</vt:lpwstr>
  </property>
  <property fmtid="{D5CDD505-2E9C-101B-9397-08002B2CF9AE}" pid="4" name="LastSaved">
    <vt:filetime>2023-01-23T00:00:00Z</vt:filetime>
  </property>
</Properties>
</file>